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ADFC8" w14:textId="2F912675" w:rsidR="00405E3E" w:rsidRDefault="00C0111E" w:rsidP="00590F5F">
      <w:pPr>
        <w:spacing w:line="360" w:lineRule="auto"/>
        <w:rPr>
          <w:rFonts w:ascii="Arial" w:hAnsi="Arial" w:cs="Arial"/>
          <w:b/>
        </w:rPr>
      </w:pPr>
      <w:r>
        <w:rPr>
          <w:rFonts w:ascii="Arial" w:hAnsi="Arial" w:cs="Arial"/>
          <w:b/>
        </w:rPr>
        <w:t>PRACTICE</w:t>
      </w:r>
      <w:r w:rsidR="00681621">
        <w:rPr>
          <w:rFonts w:ascii="Arial" w:hAnsi="Arial" w:cs="Arial"/>
          <w:b/>
        </w:rPr>
        <w:t xml:space="preserve"> EDUCATION</w:t>
      </w:r>
    </w:p>
    <w:p w14:paraId="7D43BA2B" w14:textId="77777777" w:rsidR="00835138" w:rsidRDefault="00835138" w:rsidP="00590F5F">
      <w:pPr>
        <w:spacing w:line="360" w:lineRule="auto"/>
        <w:rPr>
          <w:rFonts w:ascii="Arial" w:hAnsi="Arial" w:cs="Arial"/>
          <w:b/>
        </w:rPr>
      </w:pPr>
    </w:p>
    <w:p w14:paraId="2A49FE81" w14:textId="0C6DFE3F" w:rsidR="00835138" w:rsidRDefault="00590F5F" w:rsidP="00590F5F">
      <w:pPr>
        <w:spacing w:line="360" w:lineRule="auto"/>
        <w:rPr>
          <w:rFonts w:ascii="Arial" w:hAnsi="Arial" w:cs="Arial"/>
          <w:b/>
        </w:rPr>
      </w:pPr>
      <w:r>
        <w:rPr>
          <w:rFonts w:ascii="Arial" w:hAnsi="Arial" w:cs="Arial"/>
          <w:b/>
        </w:rPr>
        <w:t>Mark Doel</w:t>
      </w:r>
    </w:p>
    <w:p w14:paraId="789BCF56" w14:textId="72BF6EDB" w:rsidR="00590F5F" w:rsidRPr="00C86305" w:rsidRDefault="00590F5F" w:rsidP="00590F5F">
      <w:pPr>
        <w:spacing w:line="360" w:lineRule="auto"/>
        <w:rPr>
          <w:rFonts w:ascii="Arial" w:hAnsi="Arial" w:cs="Arial"/>
          <w:i/>
        </w:rPr>
      </w:pPr>
      <w:r w:rsidRPr="00C86305">
        <w:rPr>
          <w:rFonts w:ascii="Arial" w:hAnsi="Arial" w:cs="Arial"/>
          <w:i/>
        </w:rPr>
        <w:t>Emeritus Professor, Sheffield Hallam University, UK</w:t>
      </w:r>
    </w:p>
    <w:p w14:paraId="1BD7CD68" w14:textId="77777777" w:rsidR="0086729F" w:rsidRDefault="0086729F" w:rsidP="00590F5F">
      <w:pPr>
        <w:spacing w:line="360" w:lineRule="auto"/>
        <w:rPr>
          <w:rFonts w:ascii="Arial" w:hAnsi="Arial" w:cs="Arial"/>
        </w:rPr>
      </w:pPr>
    </w:p>
    <w:p w14:paraId="622EE699" w14:textId="07D700C5" w:rsidR="00BA6524" w:rsidRDefault="00904707" w:rsidP="00ED4AD5">
      <w:pPr>
        <w:spacing w:line="360" w:lineRule="auto"/>
        <w:rPr>
          <w:rFonts w:ascii="Arial" w:hAnsi="Arial"/>
        </w:rPr>
      </w:pPr>
      <w:r>
        <w:rPr>
          <w:rFonts w:ascii="Arial" w:hAnsi="Arial"/>
        </w:rPr>
        <w:t>All professional education includes one or more periods of learning in the field, often called a placement</w:t>
      </w:r>
      <w:r w:rsidR="00F82BC9">
        <w:rPr>
          <w:rFonts w:ascii="Arial" w:hAnsi="Arial"/>
        </w:rPr>
        <w:t>; s</w:t>
      </w:r>
      <w:r w:rsidR="00C04CA0">
        <w:rPr>
          <w:rFonts w:ascii="Arial" w:hAnsi="Arial"/>
        </w:rPr>
        <w:t xml:space="preserve">ometimes this is as much as half of the whole course. </w:t>
      </w:r>
      <w:r>
        <w:rPr>
          <w:rFonts w:ascii="Arial" w:hAnsi="Arial"/>
        </w:rPr>
        <w:t>So, student teachers spend time in classrooms, student doctors in hospitals and general practices</w:t>
      </w:r>
      <w:r w:rsidR="00F82BC9">
        <w:rPr>
          <w:rFonts w:ascii="Arial" w:hAnsi="Arial"/>
        </w:rPr>
        <w:t>,</w:t>
      </w:r>
      <w:r>
        <w:rPr>
          <w:rFonts w:ascii="Arial" w:hAnsi="Arial"/>
        </w:rPr>
        <w:t xml:space="preserve"> and student social wor</w:t>
      </w:r>
      <w:r w:rsidR="00C04CA0">
        <w:rPr>
          <w:rFonts w:ascii="Arial" w:hAnsi="Arial"/>
        </w:rPr>
        <w:t>kers in a variety of social care</w:t>
      </w:r>
      <w:r>
        <w:rPr>
          <w:rFonts w:ascii="Arial" w:hAnsi="Arial"/>
        </w:rPr>
        <w:t xml:space="preserve"> agencies. These opportunities for learning are supervised and assessed by experienced professionals who have usually undertaken additional training in order to </w:t>
      </w:r>
      <w:r w:rsidR="006C279A">
        <w:rPr>
          <w:rFonts w:ascii="Arial" w:hAnsi="Arial"/>
        </w:rPr>
        <w:t>fulfil</w:t>
      </w:r>
      <w:r>
        <w:rPr>
          <w:rFonts w:ascii="Arial" w:hAnsi="Arial"/>
        </w:rPr>
        <w:t xml:space="preserve"> their responsibilities. Ultimately, these practice teachers (also known as student supervisors, practice educators or mentors and field instructors) are </w:t>
      </w:r>
      <w:r w:rsidR="00C04CA0">
        <w:rPr>
          <w:rFonts w:ascii="Arial" w:hAnsi="Arial"/>
        </w:rPr>
        <w:t>gatekeepers to their profession</w:t>
      </w:r>
      <w:r>
        <w:rPr>
          <w:rFonts w:ascii="Arial" w:hAnsi="Arial"/>
        </w:rPr>
        <w:t xml:space="preserve">, with the ability to recommend a pass, fail or not yet competent decision in respect of </w:t>
      </w:r>
      <w:r w:rsidR="00F82BC9">
        <w:rPr>
          <w:rFonts w:ascii="Arial" w:hAnsi="Arial"/>
        </w:rPr>
        <w:t xml:space="preserve">an </w:t>
      </w:r>
      <w:r>
        <w:rPr>
          <w:rFonts w:ascii="Arial" w:hAnsi="Arial"/>
        </w:rPr>
        <w:t>individual student.</w:t>
      </w:r>
    </w:p>
    <w:p w14:paraId="005623A0" w14:textId="77777777" w:rsidR="00904707" w:rsidRDefault="00904707" w:rsidP="00ED4AD5">
      <w:pPr>
        <w:spacing w:line="360" w:lineRule="auto"/>
        <w:rPr>
          <w:rFonts w:ascii="Arial" w:hAnsi="Arial"/>
        </w:rPr>
      </w:pPr>
    </w:p>
    <w:p w14:paraId="354BF204" w14:textId="3D905C05" w:rsidR="00904707" w:rsidRPr="00904707" w:rsidRDefault="00904707" w:rsidP="00ED4AD5">
      <w:pPr>
        <w:spacing w:line="360" w:lineRule="auto"/>
        <w:rPr>
          <w:rFonts w:ascii="Arial" w:hAnsi="Arial"/>
          <w:i/>
        </w:rPr>
      </w:pPr>
      <w:r>
        <w:rPr>
          <w:rFonts w:ascii="Arial" w:hAnsi="Arial"/>
          <w:i/>
        </w:rPr>
        <w:t>Practice curriculum</w:t>
      </w:r>
    </w:p>
    <w:p w14:paraId="1C0D12A3" w14:textId="77777777" w:rsidR="005B0ACD" w:rsidRDefault="005B0ACD" w:rsidP="00ED4AD5">
      <w:pPr>
        <w:spacing w:line="360" w:lineRule="auto"/>
        <w:rPr>
          <w:rFonts w:ascii="Arial" w:hAnsi="Arial"/>
        </w:rPr>
      </w:pPr>
    </w:p>
    <w:p w14:paraId="1BBCC591" w14:textId="06618362" w:rsidR="00904707" w:rsidRDefault="00904707" w:rsidP="00ED4AD5">
      <w:pPr>
        <w:spacing w:line="360" w:lineRule="auto"/>
        <w:rPr>
          <w:rFonts w:ascii="Arial" w:hAnsi="Arial"/>
        </w:rPr>
      </w:pPr>
      <w:r>
        <w:rPr>
          <w:rFonts w:ascii="Arial" w:hAnsi="Arial"/>
        </w:rPr>
        <w:t>Increasingly, the content of a student’s learning on placement has been codified into what is sometimes referred to a</w:t>
      </w:r>
      <w:r w:rsidR="002709DE">
        <w:rPr>
          <w:rFonts w:ascii="Arial" w:hAnsi="Arial"/>
        </w:rPr>
        <w:t xml:space="preserve">s a practice curriculum. For </w:t>
      </w:r>
      <w:r>
        <w:rPr>
          <w:rFonts w:ascii="Arial" w:hAnsi="Arial"/>
        </w:rPr>
        <w:t xml:space="preserve">example, </w:t>
      </w:r>
      <w:r w:rsidR="002709DE">
        <w:rPr>
          <w:rFonts w:ascii="Arial" w:hAnsi="Arial"/>
        </w:rPr>
        <w:t>the</w:t>
      </w:r>
      <w:r w:rsidR="00EA63DD">
        <w:rPr>
          <w:rFonts w:ascii="Arial" w:hAnsi="Arial"/>
        </w:rPr>
        <w:t xml:space="preserve"> P</w:t>
      </w:r>
      <w:r w:rsidR="002709DE">
        <w:rPr>
          <w:rFonts w:ascii="Arial" w:hAnsi="Arial"/>
        </w:rPr>
        <w:t xml:space="preserve">ractice </w:t>
      </w:r>
      <w:r w:rsidR="00EA63DD">
        <w:rPr>
          <w:rFonts w:ascii="Arial" w:hAnsi="Arial"/>
        </w:rPr>
        <w:t>C</w:t>
      </w:r>
      <w:r w:rsidR="002709DE">
        <w:rPr>
          <w:rFonts w:ascii="Arial" w:hAnsi="Arial"/>
        </w:rPr>
        <w:t xml:space="preserve">apabilities </w:t>
      </w:r>
      <w:r w:rsidR="00EA63DD">
        <w:rPr>
          <w:rFonts w:ascii="Arial" w:hAnsi="Arial"/>
        </w:rPr>
        <w:t>F</w:t>
      </w:r>
      <w:r w:rsidR="002709DE">
        <w:rPr>
          <w:rFonts w:ascii="Arial" w:hAnsi="Arial"/>
        </w:rPr>
        <w:t>ramework requires social work students to demonstrate their abilities in nine areas</w:t>
      </w:r>
      <w:r w:rsidR="00C04CA0">
        <w:rPr>
          <w:rFonts w:ascii="Arial" w:hAnsi="Arial"/>
        </w:rPr>
        <w:t>:</w:t>
      </w:r>
      <w:r w:rsidR="002709DE">
        <w:rPr>
          <w:rFonts w:ascii="Arial" w:hAnsi="Arial"/>
        </w:rPr>
        <w:t xml:space="preserve"> professionalism; values and ethics; diversity; rights, justice and economic wellbeing; knowledge; critical reflection and analysis; intervention and skills; contexts and organisations; </w:t>
      </w:r>
      <w:r w:rsidR="005B0ACD">
        <w:rPr>
          <w:rFonts w:ascii="Arial" w:hAnsi="Arial"/>
        </w:rPr>
        <w:t xml:space="preserve">and </w:t>
      </w:r>
      <w:r w:rsidR="002709DE">
        <w:rPr>
          <w:rFonts w:ascii="Arial" w:hAnsi="Arial"/>
        </w:rPr>
        <w:t xml:space="preserve">professional leadership (College of Social Work, 2012).  </w:t>
      </w:r>
    </w:p>
    <w:p w14:paraId="1464AAB8" w14:textId="77777777" w:rsidR="00EA63DD" w:rsidRDefault="00EA63DD" w:rsidP="00ED4AD5">
      <w:pPr>
        <w:spacing w:line="360" w:lineRule="auto"/>
        <w:rPr>
          <w:rFonts w:ascii="Arial" w:hAnsi="Arial"/>
        </w:rPr>
      </w:pPr>
    </w:p>
    <w:p w14:paraId="1F30F1E0" w14:textId="755015BA" w:rsidR="00EA63DD" w:rsidRDefault="00EA63DD" w:rsidP="00ED4AD5">
      <w:pPr>
        <w:spacing w:line="360" w:lineRule="auto"/>
        <w:rPr>
          <w:rFonts w:ascii="Arial" w:hAnsi="Arial"/>
        </w:rPr>
      </w:pPr>
      <w:r>
        <w:rPr>
          <w:rFonts w:ascii="Arial" w:hAnsi="Arial"/>
        </w:rPr>
        <w:t xml:space="preserve">The tendency to focus on </w:t>
      </w:r>
      <w:r w:rsidR="00ED3A78">
        <w:rPr>
          <w:rFonts w:ascii="Arial" w:hAnsi="Arial"/>
        </w:rPr>
        <w:t xml:space="preserve">curriculum </w:t>
      </w:r>
      <w:r w:rsidRPr="00C04CA0">
        <w:rPr>
          <w:rFonts w:ascii="Arial" w:hAnsi="Arial"/>
          <w:i/>
        </w:rPr>
        <w:t xml:space="preserve">content </w:t>
      </w:r>
      <w:r>
        <w:rPr>
          <w:rFonts w:ascii="Arial" w:hAnsi="Arial"/>
        </w:rPr>
        <w:t xml:space="preserve">should not distract from the significance of other important elements of any curriculum, namely the </w:t>
      </w:r>
      <w:r w:rsidRPr="00C04CA0">
        <w:rPr>
          <w:rFonts w:ascii="Arial" w:hAnsi="Arial"/>
          <w:i/>
        </w:rPr>
        <w:t>methods</w:t>
      </w:r>
      <w:r>
        <w:rPr>
          <w:rFonts w:ascii="Arial" w:hAnsi="Arial"/>
        </w:rPr>
        <w:t xml:space="preserve"> used to teach and learn the curriculum and the ways in which evidence </w:t>
      </w:r>
      <w:r w:rsidR="005B0ACD">
        <w:rPr>
          <w:rFonts w:ascii="Arial" w:hAnsi="Arial"/>
        </w:rPr>
        <w:t xml:space="preserve">of the learner’s progress </w:t>
      </w:r>
      <w:r>
        <w:rPr>
          <w:rFonts w:ascii="Arial" w:hAnsi="Arial"/>
        </w:rPr>
        <w:t xml:space="preserve">will be gathered and </w:t>
      </w:r>
      <w:r w:rsidRPr="00C04CA0">
        <w:rPr>
          <w:rFonts w:ascii="Arial" w:hAnsi="Arial"/>
          <w:i/>
        </w:rPr>
        <w:t>assessed.</w:t>
      </w:r>
      <w:r>
        <w:rPr>
          <w:rFonts w:ascii="Arial" w:hAnsi="Arial"/>
        </w:rPr>
        <w:t xml:space="preserve"> Again, there have been considerable changes over the last few decades which have seen a move away from a relatively passive, ‘apprenticeship’ model </w:t>
      </w:r>
      <w:r w:rsidR="00ED3A78">
        <w:rPr>
          <w:rFonts w:ascii="Arial" w:hAnsi="Arial"/>
        </w:rPr>
        <w:t xml:space="preserve">(“do as I do”) to </w:t>
      </w:r>
      <w:r>
        <w:rPr>
          <w:rFonts w:ascii="Arial" w:hAnsi="Arial"/>
        </w:rPr>
        <w:t xml:space="preserve">more active, creative approaches that are founded in principles of adult </w:t>
      </w:r>
      <w:r>
        <w:rPr>
          <w:rFonts w:ascii="Arial" w:hAnsi="Arial"/>
        </w:rPr>
        <w:lastRenderedPageBreak/>
        <w:t xml:space="preserve">learning. In particular, these principles recognise that individuals have different learning styles and it is important to understand these and respond to them if </w:t>
      </w:r>
      <w:r w:rsidR="00ED3A78">
        <w:rPr>
          <w:rFonts w:ascii="Arial" w:hAnsi="Arial"/>
        </w:rPr>
        <w:t xml:space="preserve">the learning is </w:t>
      </w:r>
      <w:r>
        <w:rPr>
          <w:rFonts w:ascii="Arial" w:hAnsi="Arial"/>
        </w:rPr>
        <w:t>to be effective.</w:t>
      </w:r>
    </w:p>
    <w:p w14:paraId="2229A1B2" w14:textId="77777777" w:rsidR="00ED3A78" w:rsidRDefault="00ED3A78" w:rsidP="00ED4AD5">
      <w:pPr>
        <w:spacing w:line="360" w:lineRule="auto"/>
        <w:rPr>
          <w:rFonts w:ascii="Arial" w:hAnsi="Arial"/>
        </w:rPr>
      </w:pPr>
    </w:p>
    <w:p w14:paraId="322CF006" w14:textId="4AF957E8" w:rsidR="00ED3A78" w:rsidRDefault="00ED3A78" w:rsidP="00ED4AD5">
      <w:pPr>
        <w:spacing w:line="360" w:lineRule="auto"/>
        <w:rPr>
          <w:rFonts w:ascii="Arial" w:hAnsi="Arial"/>
        </w:rPr>
      </w:pPr>
      <w:r>
        <w:rPr>
          <w:rFonts w:ascii="Arial" w:hAnsi="Arial"/>
        </w:rPr>
        <w:t>Before the development of the practice curriculum the person most responsible for the assessment doc</w:t>
      </w:r>
      <w:r w:rsidR="00C04CA0">
        <w:rPr>
          <w:rFonts w:ascii="Arial" w:hAnsi="Arial"/>
        </w:rPr>
        <w:t>ument for students on placement</w:t>
      </w:r>
      <w:r>
        <w:rPr>
          <w:rFonts w:ascii="Arial" w:hAnsi="Arial"/>
        </w:rPr>
        <w:t xml:space="preserve"> was the student supervisor, w</w:t>
      </w:r>
      <w:r w:rsidR="00C04CA0">
        <w:rPr>
          <w:rFonts w:ascii="Arial" w:hAnsi="Arial"/>
        </w:rPr>
        <w:t>ith the unfortunate consequence</w:t>
      </w:r>
      <w:r>
        <w:rPr>
          <w:rFonts w:ascii="Arial" w:hAnsi="Arial"/>
        </w:rPr>
        <w:t xml:space="preserve"> that students were as likely to be judged by the quality of their supervisor’s report as by their own practice abilities. The introduction of the </w:t>
      </w:r>
      <w:r w:rsidRPr="00F82BC9">
        <w:rPr>
          <w:rFonts w:ascii="Arial" w:hAnsi="Arial"/>
          <w:i/>
        </w:rPr>
        <w:t>portfolio</w:t>
      </w:r>
      <w:r>
        <w:rPr>
          <w:rFonts w:ascii="Arial" w:hAnsi="Arial"/>
        </w:rPr>
        <w:t xml:space="preserve"> method of assessment was a considerable breakthrough. Through the compilation of their portfolios, students learn how to identify and collect their own evidence – describing it, analysing it and reflecting on it. They are much more the authors of their own assessment documents, with the practice educators verifying the evidence and making their own judgements by way of briefer reports focused on the different elements of practice that students are expected to learn.</w:t>
      </w:r>
    </w:p>
    <w:p w14:paraId="7178AAC3" w14:textId="77777777" w:rsidR="00ED3A78" w:rsidRDefault="00ED3A78" w:rsidP="00ED4AD5">
      <w:pPr>
        <w:spacing w:line="360" w:lineRule="auto"/>
        <w:rPr>
          <w:rFonts w:ascii="Arial" w:hAnsi="Arial"/>
        </w:rPr>
      </w:pPr>
    </w:p>
    <w:p w14:paraId="740C5496" w14:textId="5E453359" w:rsidR="00162C85" w:rsidRDefault="00ED3A78" w:rsidP="00ED4AD5">
      <w:pPr>
        <w:spacing w:line="360" w:lineRule="auto"/>
        <w:rPr>
          <w:rFonts w:ascii="Arial" w:hAnsi="Arial"/>
        </w:rPr>
      </w:pPr>
      <w:r>
        <w:rPr>
          <w:rFonts w:ascii="Arial" w:hAnsi="Arial"/>
        </w:rPr>
        <w:t>A considerable difficulty for practice education is the notion of standards and ‘good enough’ practice</w:t>
      </w:r>
      <w:r w:rsidR="00C04CA0">
        <w:rPr>
          <w:rFonts w:ascii="Arial" w:hAnsi="Arial"/>
        </w:rPr>
        <w:t xml:space="preserve"> learning</w:t>
      </w:r>
      <w:r>
        <w:rPr>
          <w:rFonts w:ascii="Arial" w:hAnsi="Arial"/>
        </w:rPr>
        <w:t>. The st</w:t>
      </w:r>
      <w:r w:rsidR="00C04CA0">
        <w:rPr>
          <w:rFonts w:ascii="Arial" w:hAnsi="Arial"/>
        </w:rPr>
        <w:t>udents are, after all, students -</w:t>
      </w:r>
      <w:r>
        <w:rPr>
          <w:rFonts w:ascii="Arial" w:hAnsi="Arial"/>
        </w:rPr>
        <w:t xml:space="preserve"> learners who will be expected to improve over time and with e</w:t>
      </w:r>
      <w:r w:rsidR="00162C85">
        <w:rPr>
          <w:rFonts w:ascii="Arial" w:hAnsi="Arial"/>
        </w:rPr>
        <w:t>x</w:t>
      </w:r>
      <w:r>
        <w:rPr>
          <w:rFonts w:ascii="Arial" w:hAnsi="Arial"/>
        </w:rPr>
        <w:t xml:space="preserve">perience. </w:t>
      </w:r>
      <w:r w:rsidR="00162C85">
        <w:rPr>
          <w:rFonts w:ascii="Arial" w:hAnsi="Arial"/>
        </w:rPr>
        <w:t xml:space="preserve">To use an analogy from driving, can they be allowed to crash the gears as long as they don’t run anybody over? The problem with complex professional practice is that there are </w:t>
      </w:r>
      <w:r w:rsidR="00C04CA0">
        <w:rPr>
          <w:rFonts w:ascii="Arial" w:hAnsi="Arial"/>
        </w:rPr>
        <w:t>differing judgements about what, in professional terms,</w:t>
      </w:r>
      <w:r w:rsidR="00162C85">
        <w:rPr>
          <w:rFonts w:ascii="Arial" w:hAnsi="Arial"/>
        </w:rPr>
        <w:t xml:space="preserve"> c</w:t>
      </w:r>
      <w:r w:rsidR="00C04CA0">
        <w:rPr>
          <w:rFonts w:ascii="Arial" w:hAnsi="Arial"/>
        </w:rPr>
        <w:t>on</w:t>
      </w:r>
      <w:r w:rsidR="00162C85">
        <w:rPr>
          <w:rFonts w:ascii="Arial" w:hAnsi="Arial"/>
        </w:rPr>
        <w:t>stitu</w:t>
      </w:r>
      <w:r w:rsidR="00C04CA0">
        <w:rPr>
          <w:rFonts w:ascii="Arial" w:hAnsi="Arial"/>
        </w:rPr>
        <w:t xml:space="preserve">tes crashing of gears and bruising </w:t>
      </w:r>
      <w:r w:rsidR="00374E11">
        <w:rPr>
          <w:rFonts w:ascii="Arial" w:hAnsi="Arial"/>
        </w:rPr>
        <w:t xml:space="preserve">of </w:t>
      </w:r>
      <w:r w:rsidR="006C279A">
        <w:rPr>
          <w:rFonts w:ascii="Arial" w:hAnsi="Arial"/>
        </w:rPr>
        <w:t>pedestrians</w:t>
      </w:r>
      <w:r w:rsidR="00162C85">
        <w:rPr>
          <w:rFonts w:ascii="Arial" w:hAnsi="Arial"/>
        </w:rPr>
        <w:t>. Some have viewed the tendency to focus on competences as neglecting more hol</w:t>
      </w:r>
      <w:r w:rsidR="00374E11">
        <w:rPr>
          <w:rFonts w:ascii="Arial" w:hAnsi="Arial"/>
        </w:rPr>
        <w:t>istic practice abilities and</w:t>
      </w:r>
      <w:r w:rsidR="00F82BC9">
        <w:rPr>
          <w:rFonts w:ascii="Arial" w:hAnsi="Arial"/>
        </w:rPr>
        <w:t xml:space="preserve"> there has been a</w:t>
      </w:r>
      <w:r w:rsidR="00374E11">
        <w:rPr>
          <w:rFonts w:ascii="Arial" w:hAnsi="Arial"/>
        </w:rPr>
        <w:t xml:space="preserve"> re-focusing on the</w:t>
      </w:r>
      <w:r w:rsidR="00162C85">
        <w:rPr>
          <w:rFonts w:ascii="Arial" w:hAnsi="Arial"/>
        </w:rPr>
        <w:t xml:space="preserve"> importance of professional behaviours and attitudes. Decisions to fail students are notoriously difficult and fraught (Finch, 2013). </w:t>
      </w:r>
    </w:p>
    <w:p w14:paraId="6626FA1D" w14:textId="77777777" w:rsidR="00904707" w:rsidRDefault="00904707" w:rsidP="00ED4AD5">
      <w:pPr>
        <w:spacing w:line="360" w:lineRule="auto"/>
        <w:rPr>
          <w:rFonts w:ascii="Arial" w:hAnsi="Arial"/>
        </w:rPr>
      </w:pPr>
    </w:p>
    <w:p w14:paraId="2F474CC0" w14:textId="77777777" w:rsidR="005B0ACD" w:rsidRDefault="00904707" w:rsidP="005B0ACD">
      <w:pPr>
        <w:spacing w:line="360" w:lineRule="auto"/>
        <w:rPr>
          <w:rFonts w:ascii="Arial" w:hAnsi="Arial"/>
          <w:i/>
        </w:rPr>
      </w:pPr>
      <w:r>
        <w:rPr>
          <w:rFonts w:ascii="Arial" w:hAnsi="Arial"/>
          <w:i/>
        </w:rPr>
        <w:t>Challenging the theory/practice, academy/agency dichotomy</w:t>
      </w:r>
    </w:p>
    <w:p w14:paraId="1DC1D838" w14:textId="77777777" w:rsidR="005B0ACD" w:rsidRDefault="005B0ACD" w:rsidP="005B0ACD">
      <w:pPr>
        <w:spacing w:line="360" w:lineRule="auto"/>
        <w:rPr>
          <w:rFonts w:ascii="Arial" w:hAnsi="Arial"/>
          <w:i/>
        </w:rPr>
      </w:pPr>
    </w:p>
    <w:p w14:paraId="139C0F65" w14:textId="4F812167" w:rsidR="00ED4AD5" w:rsidRDefault="005B0ACD" w:rsidP="005B0ACD">
      <w:pPr>
        <w:spacing w:line="360" w:lineRule="auto"/>
        <w:rPr>
          <w:rFonts w:ascii="Arial" w:hAnsi="Arial" w:cs="Arial"/>
        </w:rPr>
      </w:pPr>
      <w:r w:rsidRPr="005B0ACD">
        <w:rPr>
          <w:rFonts w:ascii="Arial" w:hAnsi="Arial" w:cs="Arial"/>
        </w:rPr>
        <w:t>‘The st</w:t>
      </w:r>
      <w:r>
        <w:rPr>
          <w:rFonts w:ascii="Arial" w:hAnsi="Arial" w:cs="Arial"/>
        </w:rPr>
        <w:t xml:space="preserve">udent learns about theory in the class setting then puts this into practice in the field.’ This is a commonly accepted cliché in professional education. However, it is deeply mistaken and has led to much that is flawed, in particular the sense that theory and practice are so irretrievably </w:t>
      </w:r>
      <w:r w:rsidR="00F82BC9">
        <w:rPr>
          <w:rFonts w:ascii="Arial" w:hAnsi="Arial" w:cs="Arial"/>
        </w:rPr>
        <w:t>incompatible</w:t>
      </w:r>
      <w:r>
        <w:rPr>
          <w:rFonts w:ascii="Arial" w:hAnsi="Arial" w:cs="Arial"/>
        </w:rPr>
        <w:t xml:space="preserve"> that, even after a vigorous shaking, like oil and vinegar they always destined to separate. </w:t>
      </w:r>
    </w:p>
    <w:p w14:paraId="7B81815A" w14:textId="77777777" w:rsidR="00A547D1" w:rsidRDefault="00A547D1" w:rsidP="005B0ACD">
      <w:pPr>
        <w:spacing w:line="360" w:lineRule="auto"/>
        <w:rPr>
          <w:rFonts w:ascii="Arial" w:hAnsi="Arial" w:cs="Arial"/>
        </w:rPr>
      </w:pPr>
    </w:p>
    <w:p w14:paraId="324C5255" w14:textId="0B73FB4D" w:rsidR="00A547D1" w:rsidRDefault="00A547D1" w:rsidP="005B0ACD">
      <w:pPr>
        <w:spacing w:line="360" w:lineRule="auto"/>
        <w:rPr>
          <w:rFonts w:ascii="Arial" w:hAnsi="Arial" w:cs="Arial"/>
        </w:rPr>
      </w:pPr>
      <w:r>
        <w:rPr>
          <w:rFonts w:ascii="Arial" w:hAnsi="Arial" w:cs="Arial"/>
        </w:rPr>
        <w:t xml:space="preserve">First, class-based learning </w:t>
      </w:r>
      <w:r w:rsidR="00F82BC9">
        <w:rPr>
          <w:rFonts w:ascii="Arial" w:hAnsi="Arial" w:cs="Arial"/>
        </w:rPr>
        <w:t>should</w:t>
      </w:r>
      <w:r>
        <w:rPr>
          <w:rFonts w:ascii="Arial" w:hAnsi="Arial" w:cs="Arial"/>
        </w:rPr>
        <w:t xml:space="preserve"> involve workshops and seminars in which students have the opportunity to rehearse practice skills –</w:t>
      </w:r>
      <w:r w:rsidR="00374E11">
        <w:rPr>
          <w:rFonts w:ascii="Arial" w:hAnsi="Arial" w:cs="Arial"/>
        </w:rPr>
        <w:t xml:space="preserve"> for e</w:t>
      </w:r>
      <w:r>
        <w:rPr>
          <w:rFonts w:ascii="Arial" w:hAnsi="Arial" w:cs="Arial"/>
        </w:rPr>
        <w:t>x</w:t>
      </w:r>
      <w:r w:rsidR="00374E11">
        <w:rPr>
          <w:rFonts w:ascii="Arial" w:hAnsi="Arial" w:cs="Arial"/>
        </w:rPr>
        <w:t>a</w:t>
      </w:r>
      <w:r>
        <w:rPr>
          <w:rFonts w:ascii="Arial" w:hAnsi="Arial" w:cs="Arial"/>
        </w:rPr>
        <w:t>mple, leading simu</w:t>
      </w:r>
      <w:r w:rsidR="00374E11">
        <w:rPr>
          <w:rFonts w:ascii="Arial" w:hAnsi="Arial" w:cs="Arial"/>
        </w:rPr>
        <w:t>l</w:t>
      </w:r>
      <w:r>
        <w:rPr>
          <w:rFonts w:ascii="Arial" w:hAnsi="Arial" w:cs="Arial"/>
        </w:rPr>
        <w:t>ated groups to hone their groupwork skills. Secondly, whilst on placement the best practice education helps students recognise their own theorising –</w:t>
      </w:r>
      <w:r w:rsidR="00374E11">
        <w:rPr>
          <w:rFonts w:ascii="Arial" w:hAnsi="Arial" w:cs="Arial"/>
        </w:rPr>
        <w:t xml:space="preserve"> the hypo</w:t>
      </w:r>
      <w:r>
        <w:rPr>
          <w:rFonts w:ascii="Arial" w:hAnsi="Arial" w:cs="Arial"/>
        </w:rPr>
        <w:t>theses they use in order to make sense of t</w:t>
      </w:r>
      <w:r w:rsidR="00374E11">
        <w:rPr>
          <w:rFonts w:ascii="Arial" w:hAnsi="Arial" w:cs="Arial"/>
        </w:rPr>
        <w:t>heir practice experiences and c</w:t>
      </w:r>
      <w:r>
        <w:rPr>
          <w:rFonts w:ascii="Arial" w:hAnsi="Arial" w:cs="Arial"/>
        </w:rPr>
        <w:t xml:space="preserve">ome to a judgement </w:t>
      </w:r>
      <w:r w:rsidR="00374E11">
        <w:rPr>
          <w:rFonts w:ascii="Arial" w:hAnsi="Arial" w:cs="Arial"/>
        </w:rPr>
        <w:t>to make</w:t>
      </w:r>
      <w:r>
        <w:rPr>
          <w:rFonts w:ascii="Arial" w:hAnsi="Arial" w:cs="Arial"/>
        </w:rPr>
        <w:t xml:space="preserve"> a decision. Practice educators </w:t>
      </w:r>
      <w:r w:rsidR="00374E11">
        <w:rPr>
          <w:rFonts w:ascii="Arial" w:hAnsi="Arial" w:cs="Arial"/>
        </w:rPr>
        <w:t>should assist students to question assumptions, test and research the evidence, and join</w:t>
      </w:r>
      <w:r>
        <w:rPr>
          <w:rFonts w:ascii="Arial" w:hAnsi="Arial" w:cs="Arial"/>
        </w:rPr>
        <w:t xml:space="preserve"> communities of interest with other professionals to learn more about what works with whom and in what circumstances. </w:t>
      </w:r>
    </w:p>
    <w:p w14:paraId="493193CD" w14:textId="77777777" w:rsidR="00A547D1" w:rsidRDefault="00A547D1" w:rsidP="005B0ACD">
      <w:pPr>
        <w:spacing w:line="360" w:lineRule="auto"/>
        <w:rPr>
          <w:rFonts w:ascii="Arial" w:hAnsi="Arial" w:cs="Arial"/>
        </w:rPr>
      </w:pPr>
    </w:p>
    <w:p w14:paraId="2E011B46" w14:textId="10F9CA86" w:rsidR="00A547D1" w:rsidRDefault="00A547D1" w:rsidP="005B0ACD">
      <w:pPr>
        <w:spacing w:line="360" w:lineRule="auto"/>
        <w:rPr>
          <w:rFonts w:ascii="Arial" w:hAnsi="Arial" w:cs="Arial"/>
        </w:rPr>
      </w:pPr>
      <w:r>
        <w:rPr>
          <w:rFonts w:ascii="Arial" w:hAnsi="Arial" w:cs="Arial"/>
        </w:rPr>
        <w:t xml:space="preserve">As long as ‘theory’ is seen as some distant body of knowledge that accrues in academia but somehow doesn’t manage to leak out, it will confirm those practitioners and managers </w:t>
      </w:r>
      <w:r w:rsidR="00C04CA0">
        <w:rPr>
          <w:rFonts w:ascii="Arial" w:hAnsi="Arial" w:cs="Arial"/>
        </w:rPr>
        <w:t>in their opinion that students should</w:t>
      </w:r>
      <w:r>
        <w:rPr>
          <w:rFonts w:ascii="Arial" w:hAnsi="Arial" w:cs="Arial"/>
        </w:rPr>
        <w:t xml:space="preserve"> ‘forget all that theory stu</w:t>
      </w:r>
      <w:r w:rsidR="00C04CA0">
        <w:rPr>
          <w:rFonts w:ascii="Arial" w:hAnsi="Arial" w:cs="Arial"/>
        </w:rPr>
        <w:t xml:space="preserve">ff now </w:t>
      </w:r>
      <w:r w:rsidR="00374E11">
        <w:rPr>
          <w:rFonts w:ascii="Arial" w:hAnsi="Arial" w:cs="Arial"/>
        </w:rPr>
        <w:t>you’re in practice.’ However, there is nothing so</w:t>
      </w:r>
      <w:r w:rsidR="00C04CA0">
        <w:rPr>
          <w:rFonts w:ascii="Arial" w:hAnsi="Arial" w:cs="Arial"/>
        </w:rPr>
        <w:t xml:space="preserve"> dangerous as a practitioner who </w:t>
      </w:r>
      <w:r w:rsidR="00374E11">
        <w:rPr>
          <w:rFonts w:ascii="Arial" w:hAnsi="Arial" w:cs="Arial"/>
        </w:rPr>
        <w:t>is unaware of their own theoris</w:t>
      </w:r>
      <w:r w:rsidR="00C04CA0">
        <w:rPr>
          <w:rFonts w:ascii="Arial" w:hAnsi="Arial" w:cs="Arial"/>
        </w:rPr>
        <w:t xml:space="preserve">ing and who acts on their unquestioned assumptions. Students must learn the truth </w:t>
      </w:r>
      <w:r w:rsidR="006C279A">
        <w:rPr>
          <w:rFonts w:ascii="Arial" w:hAnsi="Arial" w:cs="Arial"/>
        </w:rPr>
        <w:t>behind</w:t>
      </w:r>
      <w:r w:rsidR="00C04CA0">
        <w:rPr>
          <w:rFonts w:ascii="Arial" w:hAnsi="Arial" w:cs="Arial"/>
        </w:rPr>
        <w:t xml:space="preserve"> Kurt Lewin’s dictum that ‘there is nothing so practical as a good theory’.</w:t>
      </w:r>
    </w:p>
    <w:p w14:paraId="259C4244" w14:textId="77777777" w:rsidR="00C04CA0" w:rsidRDefault="00C04CA0" w:rsidP="005B0ACD">
      <w:pPr>
        <w:spacing w:line="360" w:lineRule="auto"/>
        <w:rPr>
          <w:rFonts w:ascii="Arial" w:hAnsi="Arial" w:cs="Arial"/>
        </w:rPr>
      </w:pPr>
    </w:p>
    <w:p w14:paraId="6E040AC2" w14:textId="46FBA07A" w:rsidR="00374E11" w:rsidRDefault="00374E11" w:rsidP="005B0ACD">
      <w:pPr>
        <w:spacing w:line="360" w:lineRule="auto"/>
        <w:rPr>
          <w:rFonts w:ascii="Arial" w:hAnsi="Arial"/>
        </w:rPr>
      </w:pPr>
      <w:r>
        <w:rPr>
          <w:rFonts w:ascii="Arial" w:hAnsi="Arial"/>
        </w:rPr>
        <w:t>Practi</w:t>
      </w:r>
      <w:r w:rsidRPr="00374E11">
        <w:rPr>
          <w:rFonts w:ascii="Arial" w:hAnsi="Arial"/>
        </w:rPr>
        <w:t>c</w:t>
      </w:r>
      <w:r>
        <w:rPr>
          <w:rFonts w:ascii="Arial" w:hAnsi="Arial"/>
        </w:rPr>
        <w:t>e</w:t>
      </w:r>
      <w:r w:rsidRPr="00374E11">
        <w:rPr>
          <w:rFonts w:ascii="Arial" w:hAnsi="Arial"/>
        </w:rPr>
        <w:t xml:space="preserve"> education</w:t>
      </w:r>
      <w:r w:rsidR="006C279A">
        <w:rPr>
          <w:rFonts w:ascii="Arial" w:hAnsi="Arial"/>
        </w:rPr>
        <w:t xml:space="preserve"> is an</w:t>
      </w:r>
      <w:r>
        <w:rPr>
          <w:rFonts w:ascii="Arial" w:hAnsi="Arial"/>
        </w:rPr>
        <w:t xml:space="preserve"> exciting, challenging and rewarding activity for both the practice educator and the student. </w:t>
      </w:r>
      <w:r w:rsidR="003C7548">
        <w:rPr>
          <w:rFonts w:ascii="Arial" w:hAnsi="Arial"/>
        </w:rPr>
        <w:t xml:space="preserve">Each </w:t>
      </w:r>
      <w:r w:rsidR="006C279A">
        <w:rPr>
          <w:rFonts w:ascii="Arial" w:hAnsi="Arial"/>
        </w:rPr>
        <w:t>profession</w:t>
      </w:r>
      <w:r w:rsidR="003C7548">
        <w:rPr>
          <w:rFonts w:ascii="Arial" w:hAnsi="Arial"/>
        </w:rPr>
        <w:t xml:space="preserve"> has what has been </w:t>
      </w:r>
      <w:r w:rsidR="006C279A">
        <w:rPr>
          <w:rFonts w:ascii="Arial" w:hAnsi="Arial"/>
        </w:rPr>
        <w:t>described</w:t>
      </w:r>
      <w:r w:rsidR="003C7548">
        <w:rPr>
          <w:rFonts w:ascii="Arial" w:hAnsi="Arial"/>
        </w:rPr>
        <w:t xml:space="preserve"> as its own </w:t>
      </w:r>
      <w:r w:rsidRPr="00374E11">
        <w:rPr>
          <w:rFonts w:ascii="Arial" w:hAnsi="Arial"/>
          <w:i/>
        </w:rPr>
        <w:t>signature pedagogy</w:t>
      </w:r>
      <w:r>
        <w:rPr>
          <w:rFonts w:ascii="Arial" w:hAnsi="Arial"/>
        </w:rPr>
        <w:t xml:space="preserve"> </w:t>
      </w:r>
      <w:r w:rsidR="003C7548">
        <w:rPr>
          <w:rFonts w:ascii="Arial" w:hAnsi="Arial"/>
        </w:rPr>
        <w:t>(Shulman 2005), which are the types of teaching that characteristically organises the learning of students in the different professions</w:t>
      </w:r>
      <w:r>
        <w:rPr>
          <w:rFonts w:ascii="Arial" w:hAnsi="Arial"/>
        </w:rPr>
        <w:t>.</w:t>
      </w:r>
      <w:r w:rsidR="003C7548">
        <w:rPr>
          <w:rFonts w:ascii="Arial" w:hAnsi="Arial"/>
        </w:rPr>
        <w:t xml:space="preserve"> The ‘nursery’ for the medical profession, for instance, commonly </w:t>
      </w:r>
      <w:r w:rsidR="006C279A">
        <w:rPr>
          <w:rFonts w:ascii="Arial" w:hAnsi="Arial"/>
        </w:rPr>
        <w:t>instils</w:t>
      </w:r>
      <w:r w:rsidR="003C7548">
        <w:rPr>
          <w:rFonts w:ascii="Arial" w:hAnsi="Arial"/>
        </w:rPr>
        <w:t xml:space="preserve"> the notion that authoritative certainty is </w:t>
      </w:r>
      <w:r w:rsidR="006C279A">
        <w:rPr>
          <w:rFonts w:ascii="Arial" w:hAnsi="Arial"/>
        </w:rPr>
        <w:t>a desirable characteristic; whilst social work’s ‘nursery’ treasures the opposite – philosophic doubt. So, though we have been considering professional education as a single entity, its qualities vary greatly from profession to profession (Doel and Shardlow, 2009).</w:t>
      </w:r>
    </w:p>
    <w:p w14:paraId="5916A337" w14:textId="77777777" w:rsidR="00904707" w:rsidRDefault="00904707" w:rsidP="00C86305">
      <w:pPr>
        <w:ind w:left="284" w:hanging="284"/>
        <w:rPr>
          <w:rFonts w:ascii="Arial" w:hAnsi="Arial" w:cs="Arial"/>
          <w:b/>
        </w:rPr>
      </w:pPr>
    </w:p>
    <w:p w14:paraId="54804A8C" w14:textId="77777777" w:rsidR="00904707" w:rsidRDefault="00904707" w:rsidP="00C86305">
      <w:pPr>
        <w:ind w:left="284" w:hanging="284"/>
        <w:rPr>
          <w:rFonts w:ascii="Arial" w:hAnsi="Arial" w:cs="Arial"/>
          <w:b/>
        </w:rPr>
      </w:pPr>
    </w:p>
    <w:p w14:paraId="0DEF48C9" w14:textId="77777777" w:rsidR="00703ED8" w:rsidRDefault="00703ED8">
      <w:pPr>
        <w:rPr>
          <w:rFonts w:ascii="Arial" w:hAnsi="Arial" w:cs="Arial"/>
          <w:b/>
        </w:rPr>
      </w:pPr>
    </w:p>
    <w:p w14:paraId="2E099E82" w14:textId="262468FE" w:rsidR="00590F5F" w:rsidRDefault="00590F5F" w:rsidP="00162C85">
      <w:pPr>
        <w:spacing w:line="360" w:lineRule="auto"/>
        <w:rPr>
          <w:rFonts w:ascii="Arial" w:hAnsi="Arial" w:cs="Arial"/>
          <w:i/>
        </w:rPr>
      </w:pPr>
      <w:r>
        <w:rPr>
          <w:rFonts w:ascii="Arial" w:hAnsi="Arial" w:cs="Arial"/>
          <w:i/>
        </w:rPr>
        <w:t>References</w:t>
      </w:r>
    </w:p>
    <w:p w14:paraId="7D4D601E" w14:textId="77777777" w:rsidR="00A547D1" w:rsidRPr="00162C85" w:rsidRDefault="00A547D1" w:rsidP="00162C85">
      <w:pPr>
        <w:spacing w:line="360" w:lineRule="auto"/>
        <w:rPr>
          <w:rFonts w:ascii="Arial" w:hAnsi="Arial" w:cs="Arial"/>
          <w:i/>
        </w:rPr>
      </w:pPr>
    </w:p>
    <w:p w14:paraId="447D0EF4" w14:textId="54993CFA" w:rsidR="002709DE" w:rsidRPr="006C279A" w:rsidRDefault="002709DE" w:rsidP="00A547D1">
      <w:pPr>
        <w:widowControl w:val="0"/>
        <w:autoSpaceDE w:val="0"/>
        <w:autoSpaceDN w:val="0"/>
        <w:adjustRightInd w:val="0"/>
        <w:spacing w:line="360" w:lineRule="auto"/>
        <w:ind w:left="284" w:hanging="284"/>
        <w:rPr>
          <w:rFonts w:ascii="Arial" w:eastAsia="Times New Roman" w:hAnsi="Arial"/>
        </w:rPr>
      </w:pPr>
      <w:r w:rsidRPr="006C279A">
        <w:rPr>
          <w:rFonts w:ascii="Arial" w:eastAsia="Times New Roman" w:hAnsi="Arial"/>
        </w:rPr>
        <w:t xml:space="preserve">College of Social Work (2012), </w:t>
      </w:r>
      <w:hyperlink r:id="rId9" w:history="1">
        <w:r w:rsidRPr="006C279A">
          <w:rPr>
            <w:rStyle w:val="Hyperlink"/>
            <w:rFonts w:ascii="Arial" w:eastAsia="Times New Roman" w:hAnsi="Arial"/>
            <w:color w:val="auto"/>
          </w:rPr>
          <w:t>http://www.tcsw.org.uk/pcfDisplay.aspx</w:t>
        </w:r>
      </w:hyperlink>
      <w:r w:rsidRPr="006C279A">
        <w:rPr>
          <w:rFonts w:ascii="Arial" w:eastAsia="Times New Roman" w:hAnsi="Arial"/>
        </w:rPr>
        <w:t xml:space="preserve"> </w:t>
      </w:r>
    </w:p>
    <w:p w14:paraId="7E410C66" w14:textId="432CFA9F" w:rsidR="006C279A" w:rsidRPr="006C279A" w:rsidRDefault="006C279A" w:rsidP="006C279A">
      <w:pPr>
        <w:spacing w:line="360" w:lineRule="auto"/>
        <w:ind w:left="284" w:hanging="284"/>
        <w:rPr>
          <w:rFonts w:ascii="Arial" w:hAnsi="Arial"/>
        </w:rPr>
      </w:pPr>
      <w:r w:rsidRPr="006C279A">
        <w:rPr>
          <w:rFonts w:ascii="Arial" w:hAnsi="Arial"/>
        </w:rPr>
        <w:t xml:space="preserve">Doel, M. and Shardlow, S.M. [eds] (2009), </w:t>
      </w:r>
      <w:r w:rsidRPr="006C279A">
        <w:rPr>
          <w:rFonts w:ascii="Arial" w:hAnsi="Arial"/>
          <w:i/>
        </w:rPr>
        <w:t>Educating Professionals,</w:t>
      </w:r>
      <w:r w:rsidRPr="006C279A">
        <w:rPr>
          <w:rFonts w:ascii="Arial" w:hAnsi="Arial"/>
          <w:b/>
        </w:rPr>
        <w:t xml:space="preserve"> </w:t>
      </w:r>
      <w:r w:rsidRPr="006C279A">
        <w:rPr>
          <w:rFonts w:ascii="Arial" w:hAnsi="Arial"/>
        </w:rPr>
        <w:t>Aldershot: Ashgate.</w:t>
      </w:r>
    </w:p>
    <w:p w14:paraId="364AAA42" w14:textId="31BE2662" w:rsidR="00162C85" w:rsidRPr="006C279A" w:rsidRDefault="00162C85" w:rsidP="00A547D1">
      <w:pPr>
        <w:widowControl w:val="0"/>
        <w:autoSpaceDE w:val="0"/>
        <w:autoSpaceDN w:val="0"/>
        <w:adjustRightInd w:val="0"/>
        <w:spacing w:line="360" w:lineRule="auto"/>
        <w:ind w:left="284" w:hanging="284"/>
        <w:rPr>
          <w:rFonts w:ascii="Arial" w:eastAsia="Times New Roman" w:hAnsi="Arial"/>
        </w:rPr>
      </w:pPr>
      <w:r w:rsidRPr="006C279A">
        <w:rPr>
          <w:rFonts w:ascii="Arial" w:eastAsia="Times New Roman" w:hAnsi="Arial"/>
        </w:rPr>
        <w:t>Finch, J. [</w:t>
      </w:r>
      <w:r w:rsidR="006C279A" w:rsidRPr="006C279A">
        <w:rPr>
          <w:rFonts w:ascii="Arial" w:eastAsia="Times New Roman" w:hAnsi="Arial"/>
        </w:rPr>
        <w:t>ed</w:t>
      </w:r>
      <w:r w:rsidR="006C279A">
        <w:rPr>
          <w:rFonts w:ascii="Arial" w:eastAsia="Times New Roman" w:hAnsi="Arial"/>
        </w:rPr>
        <w:t>.</w:t>
      </w:r>
      <w:r w:rsidRPr="006C279A">
        <w:rPr>
          <w:rFonts w:ascii="Arial" w:eastAsia="Times New Roman" w:hAnsi="Arial"/>
        </w:rPr>
        <w:t xml:space="preserve">] (2013), </w:t>
      </w:r>
      <w:r w:rsidR="006C279A" w:rsidRPr="006C279A">
        <w:rPr>
          <w:rFonts w:ascii="Arial" w:eastAsia="Times New Roman" w:hAnsi="Arial"/>
        </w:rPr>
        <w:t>‘Failing Students’,</w:t>
      </w:r>
      <w:r w:rsidR="003C7548" w:rsidRPr="006C279A">
        <w:rPr>
          <w:rFonts w:ascii="Arial" w:eastAsia="Times New Roman" w:hAnsi="Arial"/>
        </w:rPr>
        <w:t xml:space="preserve"> </w:t>
      </w:r>
      <w:r w:rsidRPr="006C279A">
        <w:rPr>
          <w:rFonts w:ascii="Arial" w:eastAsia="Times New Roman" w:hAnsi="Arial"/>
        </w:rPr>
        <w:t xml:space="preserve">Special issue of Journal of Practice Teaching and Learning, </w:t>
      </w:r>
      <w:r w:rsidR="006C279A" w:rsidRPr="006C279A">
        <w:rPr>
          <w:rFonts w:ascii="Arial" w:eastAsia="Times New Roman" w:hAnsi="Arial"/>
        </w:rPr>
        <w:t xml:space="preserve">[11.3], </w:t>
      </w:r>
      <w:r w:rsidRPr="006C279A">
        <w:rPr>
          <w:rFonts w:ascii="Arial" w:eastAsia="Times New Roman" w:hAnsi="Arial"/>
        </w:rPr>
        <w:t>London: Whiting and Birch.</w:t>
      </w:r>
    </w:p>
    <w:p w14:paraId="4C589716" w14:textId="53756B3E" w:rsidR="003C7548" w:rsidRPr="006C279A" w:rsidRDefault="003C7548" w:rsidP="003C7548">
      <w:pPr>
        <w:widowControl w:val="0"/>
        <w:autoSpaceDE w:val="0"/>
        <w:autoSpaceDN w:val="0"/>
        <w:adjustRightInd w:val="0"/>
        <w:spacing w:after="140"/>
        <w:ind w:left="284" w:hanging="284"/>
        <w:rPr>
          <w:rFonts w:ascii="Arial" w:hAnsi="Arial" w:cs="Arial"/>
          <w:bCs/>
          <w:lang w:val="en-US" w:eastAsia="ja-JP"/>
        </w:rPr>
      </w:pPr>
      <w:r w:rsidRPr="006C279A">
        <w:rPr>
          <w:rFonts w:ascii="Arial" w:hAnsi="Arial" w:cs="Arial"/>
          <w:lang w:val="en-US" w:eastAsia="ja-JP"/>
        </w:rPr>
        <w:t>Shulman, L.S. (2005), ‘</w:t>
      </w:r>
      <w:r w:rsidRPr="006C279A">
        <w:rPr>
          <w:rFonts w:ascii="Arial" w:hAnsi="Arial" w:cs="Arial"/>
          <w:bCs/>
          <w:lang w:val="en-US" w:eastAsia="ja-JP"/>
        </w:rPr>
        <w:t>Signature pedagogies in the professions</w:t>
      </w:r>
      <w:r w:rsidRPr="006C279A">
        <w:rPr>
          <w:rFonts w:ascii="Arial" w:hAnsi="Arial" w:cs="Arial"/>
          <w:lang w:val="en-US" w:eastAsia="ja-JP"/>
        </w:rPr>
        <w:t xml:space="preserve">‘, in </w:t>
      </w:r>
      <w:r w:rsidRPr="006C279A">
        <w:rPr>
          <w:rFonts w:ascii="Arial" w:hAnsi="Arial" w:cs="Arial"/>
          <w:i/>
          <w:lang w:val="en-US" w:eastAsia="ja-JP"/>
        </w:rPr>
        <w:t>Daedalus,</w:t>
      </w:r>
      <w:r w:rsidRPr="006C279A">
        <w:rPr>
          <w:rFonts w:ascii="Arial" w:hAnsi="Arial" w:cs="Arial"/>
          <w:lang w:val="en-US" w:eastAsia="ja-JP"/>
        </w:rPr>
        <w:t xml:space="preserve"> 134.3, </w:t>
      </w:r>
      <w:r w:rsidR="006C279A" w:rsidRPr="006C279A">
        <w:rPr>
          <w:rFonts w:ascii="Arial" w:hAnsi="Arial" w:cs="Arial"/>
          <w:lang w:val="en-US" w:eastAsia="ja-JP"/>
        </w:rPr>
        <w:t>pp</w:t>
      </w:r>
      <w:r w:rsidR="006C279A">
        <w:rPr>
          <w:rFonts w:ascii="Arial" w:hAnsi="Arial" w:cs="Arial"/>
          <w:lang w:val="en-US" w:eastAsia="ja-JP"/>
        </w:rPr>
        <w:t>.</w:t>
      </w:r>
      <w:r w:rsidRPr="006C279A">
        <w:rPr>
          <w:rFonts w:ascii="Arial" w:hAnsi="Arial" w:cs="Arial"/>
          <w:lang w:val="en-US" w:eastAsia="ja-JP"/>
        </w:rPr>
        <w:t xml:space="preserve"> 52-59.</w:t>
      </w:r>
    </w:p>
    <w:p w14:paraId="3A779063" w14:textId="05E54F03" w:rsidR="00703ED8" w:rsidRPr="00612AEF" w:rsidRDefault="00703ED8" w:rsidP="009E2D8B">
      <w:pPr>
        <w:spacing w:line="360" w:lineRule="auto"/>
        <w:ind w:left="284" w:hanging="284"/>
        <w:rPr>
          <w:rFonts w:ascii="Arial" w:hAnsi="Arial"/>
          <w:lang w:val="en"/>
        </w:rPr>
      </w:pPr>
    </w:p>
    <w:p w14:paraId="2709BE7D" w14:textId="77777777" w:rsidR="00703ED8" w:rsidRDefault="00703ED8" w:rsidP="00590F5F">
      <w:pPr>
        <w:spacing w:line="360" w:lineRule="auto"/>
        <w:rPr>
          <w:rFonts w:ascii="Arial" w:hAnsi="Arial" w:cs="Arial"/>
          <w:b/>
        </w:rPr>
      </w:pPr>
    </w:p>
    <w:p w14:paraId="1B47FCC2" w14:textId="5DDCAEBD" w:rsidR="00590F5F" w:rsidRDefault="00590F5F" w:rsidP="00590F5F">
      <w:pPr>
        <w:spacing w:line="360" w:lineRule="auto"/>
        <w:rPr>
          <w:rFonts w:ascii="Arial" w:hAnsi="Arial" w:cs="Arial"/>
          <w:i/>
        </w:rPr>
      </w:pPr>
      <w:r w:rsidRPr="00590F5F">
        <w:rPr>
          <w:rFonts w:ascii="Arial" w:hAnsi="Arial" w:cs="Arial"/>
          <w:i/>
        </w:rPr>
        <w:t>Further reading</w:t>
      </w:r>
    </w:p>
    <w:p w14:paraId="1C6D65EC" w14:textId="77777777" w:rsidR="00A547D1" w:rsidRPr="00162C85" w:rsidRDefault="00A547D1" w:rsidP="00590F5F">
      <w:pPr>
        <w:spacing w:line="360" w:lineRule="auto"/>
        <w:rPr>
          <w:rFonts w:ascii="Arial" w:hAnsi="Arial" w:cs="Arial"/>
          <w:i/>
        </w:rPr>
      </w:pPr>
    </w:p>
    <w:p w14:paraId="1DF8754A" w14:textId="77777777" w:rsidR="00236834" w:rsidRPr="003B67A7" w:rsidRDefault="00236834" w:rsidP="00236834">
      <w:pPr>
        <w:widowControl w:val="0"/>
        <w:autoSpaceDE w:val="0"/>
        <w:autoSpaceDN w:val="0"/>
        <w:adjustRightInd w:val="0"/>
        <w:ind w:left="284" w:hanging="284"/>
        <w:rPr>
          <w:rFonts w:ascii="Arial" w:eastAsia="Times New Roman" w:hAnsi="Arial"/>
          <w:b/>
        </w:rPr>
      </w:pPr>
      <w:r>
        <w:rPr>
          <w:rFonts w:ascii="Arial" w:eastAsia="Times New Roman" w:hAnsi="Arial"/>
          <w:b/>
        </w:rPr>
        <w:t>Doel, M. (2010</w:t>
      </w:r>
      <w:r w:rsidRPr="003B67A7">
        <w:rPr>
          <w:rFonts w:ascii="Arial" w:eastAsia="Times New Roman" w:hAnsi="Arial"/>
          <w:b/>
        </w:rPr>
        <w:t xml:space="preserve">), </w:t>
      </w:r>
      <w:r w:rsidRPr="003B67A7">
        <w:rPr>
          <w:rFonts w:ascii="Arial" w:eastAsia="Times New Roman" w:hAnsi="Arial"/>
          <w:b/>
          <w:i/>
        </w:rPr>
        <w:t>Social Work</w:t>
      </w:r>
      <w:r>
        <w:rPr>
          <w:rFonts w:ascii="Arial" w:eastAsia="Times New Roman" w:hAnsi="Arial"/>
          <w:b/>
          <w:i/>
        </w:rPr>
        <w:t xml:space="preserve"> Placements: A Traveller’s Guide</w:t>
      </w:r>
      <w:r>
        <w:rPr>
          <w:rFonts w:ascii="Arial" w:eastAsia="Times New Roman" w:hAnsi="Arial"/>
          <w:b/>
        </w:rPr>
        <w:t>, London</w:t>
      </w:r>
      <w:r w:rsidRPr="003B67A7">
        <w:rPr>
          <w:rFonts w:ascii="Arial" w:eastAsia="Times New Roman" w:hAnsi="Arial"/>
          <w:b/>
        </w:rPr>
        <w:t xml:space="preserve">: </w:t>
      </w:r>
      <w:r>
        <w:rPr>
          <w:rFonts w:ascii="Arial" w:eastAsia="Times New Roman" w:hAnsi="Arial"/>
          <w:b/>
        </w:rPr>
        <w:t>Routledge</w:t>
      </w:r>
      <w:r w:rsidRPr="003B67A7">
        <w:rPr>
          <w:rFonts w:ascii="Arial" w:eastAsia="Times New Roman" w:hAnsi="Arial"/>
          <w:b/>
        </w:rPr>
        <w:t>.</w:t>
      </w:r>
    </w:p>
    <w:p w14:paraId="33B87159" w14:textId="2BC0050F" w:rsidR="00590F5F" w:rsidRDefault="00236834" w:rsidP="00590F5F">
      <w:pPr>
        <w:spacing w:line="360" w:lineRule="auto"/>
        <w:rPr>
          <w:rFonts w:ascii="Arial" w:hAnsi="Arial" w:cs="Arial"/>
        </w:rPr>
      </w:pPr>
      <w:r>
        <w:rPr>
          <w:rFonts w:ascii="Arial" w:hAnsi="Arial" w:cs="Arial"/>
        </w:rPr>
        <w:t>This book has</w:t>
      </w:r>
      <w:r w:rsidR="00681621">
        <w:rPr>
          <w:rFonts w:ascii="Arial" w:hAnsi="Arial" w:cs="Arial"/>
        </w:rPr>
        <w:t xml:space="preserve"> an imaginative approach to practice education in social work, using a ‘Rough Guide’ travel guide approach to student plac</w:t>
      </w:r>
      <w:r w:rsidR="00F82BC9">
        <w:rPr>
          <w:rFonts w:ascii="Arial" w:hAnsi="Arial" w:cs="Arial"/>
        </w:rPr>
        <w:t>ements that views the placement as a journey through the professional landscape.</w:t>
      </w:r>
    </w:p>
    <w:p w14:paraId="2A9D5C45" w14:textId="77777777" w:rsidR="003B67A7" w:rsidRDefault="003B67A7" w:rsidP="003B67A7">
      <w:pPr>
        <w:widowControl w:val="0"/>
        <w:autoSpaceDE w:val="0"/>
        <w:autoSpaceDN w:val="0"/>
        <w:adjustRightInd w:val="0"/>
        <w:ind w:left="284" w:hanging="284"/>
        <w:rPr>
          <w:rFonts w:ascii="Arial" w:eastAsia="Times New Roman" w:hAnsi="Arial"/>
        </w:rPr>
      </w:pPr>
    </w:p>
    <w:p w14:paraId="084613AD" w14:textId="77777777" w:rsidR="00236834" w:rsidRPr="00C0111E" w:rsidRDefault="00236834" w:rsidP="003B67A7">
      <w:pPr>
        <w:widowControl w:val="0"/>
        <w:autoSpaceDE w:val="0"/>
        <w:autoSpaceDN w:val="0"/>
        <w:adjustRightInd w:val="0"/>
        <w:ind w:left="284" w:hanging="284"/>
        <w:rPr>
          <w:rFonts w:ascii="Arial" w:eastAsia="Times New Roman" w:hAnsi="Arial"/>
        </w:rPr>
      </w:pPr>
    </w:p>
    <w:p w14:paraId="00139268" w14:textId="77777777" w:rsidR="00236834" w:rsidRPr="00590F5F" w:rsidRDefault="00236834" w:rsidP="00236834">
      <w:pPr>
        <w:spacing w:line="360" w:lineRule="auto"/>
        <w:ind w:left="284" w:hanging="284"/>
        <w:rPr>
          <w:rFonts w:ascii="Arial" w:hAnsi="Arial"/>
          <w:b/>
        </w:rPr>
      </w:pPr>
      <w:r w:rsidRPr="00590F5F">
        <w:rPr>
          <w:rFonts w:ascii="Arial" w:hAnsi="Arial"/>
          <w:b/>
        </w:rPr>
        <w:t>Doel, M.</w:t>
      </w:r>
      <w:r>
        <w:rPr>
          <w:rFonts w:ascii="Arial" w:hAnsi="Arial"/>
          <w:b/>
        </w:rPr>
        <w:t xml:space="preserve"> and Shardlow, S.M. [eds]</w:t>
      </w:r>
      <w:r w:rsidRPr="00590F5F">
        <w:rPr>
          <w:rFonts w:ascii="Arial" w:hAnsi="Arial"/>
          <w:b/>
        </w:rPr>
        <w:t xml:space="preserve"> </w:t>
      </w:r>
      <w:r>
        <w:rPr>
          <w:rFonts w:ascii="Arial" w:hAnsi="Arial"/>
          <w:b/>
        </w:rPr>
        <w:t xml:space="preserve">(2009), </w:t>
      </w:r>
      <w:r>
        <w:rPr>
          <w:rFonts w:ascii="Arial" w:hAnsi="Arial"/>
          <w:b/>
          <w:i/>
        </w:rPr>
        <w:t>Educating Professionals</w:t>
      </w:r>
      <w:r w:rsidRPr="003B67A7">
        <w:rPr>
          <w:rFonts w:ascii="Arial" w:hAnsi="Arial"/>
          <w:b/>
          <w:i/>
        </w:rPr>
        <w:t>,</w:t>
      </w:r>
      <w:r>
        <w:rPr>
          <w:rFonts w:ascii="Arial" w:hAnsi="Arial"/>
          <w:b/>
        </w:rPr>
        <w:t xml:space="preserve"> Aldershot: Ashgate.</w:t>
      </w:r>
    </w:p>
    <w:p w14:paraId="7A1055A1" w14:textId="008EDE9B" w:rsidR="00236834" w:rsidRDefault="00681621" w:rsidP="00590F5F">
      <w:pPr>
        <w:spacing w:line="360" w:lineRule="auto"/>
        <w:rPr>
          <w:rFonts w:ascii="Arial" w:hAnsi="Arial" w:cs="Arial"/>
        </w:rPr>
      </w:pPr>
      <w:r>
        <w:rPr>
          <w:rFonts w:ascii="Arial" w:hAnsi="Arial" w:cs="Arial"/>
        </w:rPr>
        <w:t>This book has chapters from leading names in practice education from nine</w:t>
      </w:r>
      <w:r w:rsidR="00236834">
        <w:rPr>
          <w:rFonts w:ascii="Arial" w:hAnsi="Arial" w:cs="Arial"/>
        </w:rPr>
        <w:t xml:space="preserve"> different heath and social care professional group</w:t>
      </w:r>
      <w:r>
        <w:rPr>
          <w:rFonts w:ascii="Arial" w:hAnsi="Arial" w:cs="Arial"/>
        </w:rPr>
        <w:t xml:space="preserve">s: </w:t>
      </w:r>
      <w:r w:rsidR="00236834">
        <w:rPr>
          <w:rFonts w:ascii="Arial" w:hAnsi="Arial" w:cs="Arial"/>
        </w:rPr>
        <w:t xml:space="preserve">community mental health, health visiting, </w:t>
      </w:r>
      <w:r w:rsidR="00904707">
        <w:rPr>
          <w:rFonts w:ascii="Arial" w:hAnsi="Arial" w:cs="Arial"/>
        </w:rPr>
        <w:t xml:space="preserve">medicine, </w:t>
      </w:r>
      <w:r w:rsidR="00236834">
        <w:rPr>
          <w:rFonts w:ascii="Arial" w:hAnsi="Arial" w:cs="Arial"/>
        </w:rPr>
        <w:t xml:space="preserve">midwifery, nursing, occupational therapy, physiotherapy, social work, and speech and language. Each chapter presents the state of practice education in the respective profession, </w:t>
      </w:r>
      <w:r w:rsidR="00904707">
        <w:rPr>
          <w:rFonts w:ascii="Arial" w:hAnsi="Arial" w:cs="Arial"/>
        </w:rPr>
        <w:t xml:space="preserve">and </w:t>
      </w:r>
      <w:r w:rsidR="00236834">
        <w:rPr>
          <w:rFonts w:ascii="Arial" w:hAnsi="Arial" w:cs="Arial"/>
        </w:rPr>
        <w:t xml:space="preserve">uses a common community of people to illustrate how students from the different professions might learn (and learn together) at this common site. There are also chapters on using the community as a site for </w:t>
      </w:r>
      <w:r w:rsidR="00904707">
        <w:rPr>
          <w:rFonts w:ascii="Arial" w:hAnsi="Arial" w:cs="Arial"/>
        </w:rPr>
        <w:t>l</w:t>
      </w:r>
      <w:r w:rsidR="00236834">
        <w:rPr>
          <w:rFonts w:ascii="Arial" w:hAnsi="Arial" w:cs="Arial"/>
        </w:rPr>
        <w:t xml:space="preserve">earning and </w:t>
      </w:r>
      <w:r w:rsidR="00F82BC9">
        <w:rPr>
          <w:rFonts w:ascii="Arial" w:hAnsi="Arial" w:cs="Arial"/>
        </w:rPr>
        <w:t xml:space="preserve">on </w:t>
      </w:r>
      <w:bookmarkStart w:id="0" w:name="_GoBack"/>
      <w:bookmarkEnd w:id="0"/>
      <w:r w:rsidR="00236834">
        <w:rPr>
          <w:rFonts w:ascii="Arial" w:hAnsi="Arial" w:cs="Arial"/>
        </w:rPr>
        <w:t>interprofessional education.</w:t>
      </w:r>
    </w:p>
    <w:p w14:paraId="6868535A" w14:textId="77777777" w:rsidR="00590F5F" w:rsidRDefault="00590F5F" w:rsidP="00590F5F">
      <w:pPr>
        <w:ind w:left="284" w:hanging="284"/>
        <w:rPr>
          <w:rFonts w:ascii="Arial" w:hAnsi="Arial"/>
        </w:rPr>
      </w:pPr>
    </w:p>
    <w:p w14:paraId="055293DE" w14:textId="77777777" w:rsidR="00590F5F" w:rsidRDefault="00590F5F" w:rsidP="00590F5F">
      <w:pPr>
        <w:ind w:left="284" w:hanging="284"/>
        <w:rPr>
          <w:rFonts w:ascii="Arial" w:hAnsi="Arial"/>
        </w:rPr>
      </w:pPr>
    </w:p>
    <w:p w14:paraId="4BFF5BE7" w14:textId="77777777" w:rsidR="00590F5F" w:rsidRDefault="00590F5F" w:rsidP="00590F5F">
      <w:pPr>
        <w:ind w:left="284" w:hanging="284"/>
        <w:rPr>
          <w:rFonts w:ascii="Arial" w:hAnsi="Arial"/>
        </w:rPr>
      </w:pPr>
    </w:p>
    <w:p w14:paraId="6DD6E335" w14:textId="77777777" w:rsidR="00590F5F" w:rsidRPr="00590F5F" w:rsidRDefault="00590F5F">
      <w:pPr>
        <w:rPr>
          <w:rFonts w:ascii="Arial" w:hAnsi="Arial" w:cs="Arial"/>
        </w:rPr>
      </w:pPr>
    </w:p>
    <w:sectPr w:rsidR="00590F5F" w:rsidRPr="00590F5F" w:rsidSect="00405E3E">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91759" w14:textId="77777777" w:rsidR="003C7548" w:rsidRDefault="003C7548" w:rsidP="00184DE5">
      <w:r>
        <w:separator/>
      </w:r>
    </w:p>
  </w:endnote>
  <w:endnote w:type="continuationSeparator" w:id="0">
    <w:p w14:paraId="4A800CDE" w14:textId="77777777" w:rsidR="003C7548" w:rsidRDefault="003C7548" w:rsidP="0018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9AAF" w14:textId="77777777" w:rsidR="003C7548" w:rsidRDefault="003C7548" w:rsidP="00405E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A124C" w14:textId="77777777" w:rsidR="003C7548" w:rsidRDefault="003C7548" w:rsidP="00184D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3472" w14:textId="77777777" w:rsidR="003C7548" w:rsidRPr="00184DE5" w:rsidRDefault="003C7548" w:rsidP="00405E3E">
    <w:pPr>
      <w:pStyle w:val="Footer"/>
      <w:framePr w:wrap="around" w:vAnchor="text" w:hAnchor="margin" w:xAlign="right" w:y="1"/>
      <w:rPr>
        <w:rStyle w:val="PageNumber"/>
        <w:rFonts w:ascii="Arial" w:hAnsi="Arial" w:cs="Arial"/>
        <w:sz w:val="18"/>
        <w:szCs w:val="18"/>
      </w:rPr>
    </w:pPr>
    <w:r w:rsidRPr="00184DE5">
      <w:rPr>
        <w:rStyle w:val="PageNumber"/>
        <w:rFonts w:ascii="Arial" w:hAnsi="Arial" w:cs="Arial"/>
        <w:sz w:val="18"/>
        <w:szCs w:val="18"/>
      </w:rPr>
      <w:fldChar w:fldCharType="begin"/>
    </w:r>
    <w:r w:rsidRPr="00184DE5">
      <w:rPr>
        <w:rStyle w:val="PageNumber"/>
        <w:rFonts w:ascii="Arial" w:hAnsi="Arial" w:cs="Arial"/>
        <w:sz w:val="18"/>
        <w:szCs w:val="18"/>
      </w:rPr>
      <w:instrText xml:space="preserve">PAGE  </w:instrText>
    </w:r>
    <w:r w:rsidRPr="00184DE5">
      <w:rPr>
        <w:rStyle w:val="PageNumber"/>
        <w:rFonts w:ascii="Arial" w:hAnsi="Arial" w:cs="Arial"/>
        <w:sz w:val="18"/>
        <w:szCs w:val="18"/>
      </w:rPr>
      <w:fldChar w:fldCharType="separate"/>
    </w:r>
    <w:r w:rsidR="00F82BC9">
      <w:rPr>
        <w:rStyle w:val="PageNumber"/>
        <w:rFonts w:ascii="Arial" w:hAnsi="Arial" w:cs="Arial"/>
        <w:noProof/>
        <w:sz w:val="18"/>
        <w:szCs w:val="18"/>
      </w:rPr>
      <w:t>1</w:t>
    </w:r>
    <w:r w:rsidRPr="00184DE5">
      <w:rPr>
        <w:rStyle w:val="PageNumber"/>
        <w:rFonts w:ascii="Arial" w:hAnsi="Arial" w:cs="Arial"/>
        <w:sz w:val="18"/>
        <w:szCs w:val="18"/>
      </w:rPr>
      <w:fldChar w:fldCharType="end"/>
    </w:r>
  </w:p>
  <w:p w14:paraId="0543C94B" w14:textId="77777777" w:rsidR="003C7548" w:rsidRPr="00184DE5" w:rsidRDefault="003C7548" w:rsidP="00184DE5">
    <w:pPr>
      <w:pStyle w:val="Footer"/>
      <w:ind w:right="360"/>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B51CF" w14:textId="77777777" w:rsidR="003C7548" w:rsidRDefault="003C7548" w:rsidP="00184DE5">
      <w:r>
        <w:separator/>
      </w:r>
    </w:p>
  </w:footnote>
  <w:footnote w:type="continuationSeparator" w:id="0">
    <w:p w14:paraId="20FAEC76" w14:textId="77777777" w:rsidR="003C7548" w:rsidRDefault="003C7548" w:rsidP="00184D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0F3F"/>
    <w:multiLevelType w:val="hybridMultilevel"/>
    <w:tmpl w:val="107E34CA"/>
    <w:lvl w:ilvl="0" w:tplc="1402EC8A">
      <w:start w:val="1"/>
      <w:numFmt w:val="bullet"/>
      <w:lvlText w:val=""/>
      <w:lvlJc w:val="left"/>
      <w:pPr>
        <w:tabs>
          <w:tab w:val="num" w:pos="1080"/>
        </w:tabs>
        <w:ind w:left="1080" w:hanging="360"/>
      </w:pPr>
      <w:rPr>
        <w:rFonts w:ascii="Symbol" w:hAnsi="Symbol" w:hint="default"/>
        <w:color w:val="auto"/>
        <w:sz w:val="28"/>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5"/>
    <w:rsid w:val="00141E40"/>
    <w:rsid w:val="0015047D"/>
    <w:rsid w:val="00162C85"/>
    <w:rsid w:val="00184DE5"/>
    <w:rsid w:val="00236834"/>
    <w:rsid w:val="002709DE"/>
    <w:rsid w:val="00282018"/>
    <w:rsid w:val="00374E11"/>
    <w:rsid w:val="003B67A7"/>
    <w:rsid w:val="003C4B4C"/>
    <w:rsid w:val="003C7548"/>
    <w:rsid w:val="003D3B19"/>
    <w:rsid w:val="00405E3E"/>
    <w:rsid w:val="004A27CC"/>
    <w:rsid w:val="00590F5F"/>
    <w:rsid w:val="005B0ACD"/>
    <w:rsid w:val="00681621"/>
    <w:rsid w:val="006C279A"/>
    <w:rsid w:val="00703ED8"/>
    <w:rsid w:val="00835138"/>
    <w:rsid w:val="0086729F"/>
    <w:rsid w:val="00904707"/>
    <w:rsid w:val="009E2D8B"/>
    <w:rsid w:val="00A547D1"/>
    <w:rsid w:val="00B442F9"/>
    <w:rsid w:val="00BA6524"/>
    <w:rsid w:val="00C0111E"/>
    <w:rsid w:val="00C04CA0"/>
    <w:rsid w:val="00C34602"/>
    <w:rsid w:val="00C86305"/>
    <w:rsid w:val="00DC761E"/>
    <w:rsid w:val="00EA63DD"/>
    <w:rsid w:val="00ED3A78"/>
    <w:rsid w:val="00ED4AD5"/>
    <w:rsid w:val="00F82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C309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5"/>
    <w:pPr>
      <w:tabs>
        <w:tab w:val="center" w:pos="4320"/>
        <w:tab w:val="right" w:pos="8640"/>
      </w:tabs>
    </w:pPr>
  </w:style>
  <w:style w:type="character" w:customStyle="1" w:styleId="HeaderChar">
    <w:name w:val="Header Char"/>
    <w:basedOn w:val="DefaultParagraphFont"/>
    <w:link w:val="Header"/>
    <w:uiPriority w:val="99"/>
    <w:rsid w:val="00184DE5"/>
    <w:rPr>
      <w:sz w:val="24"/>
      <w:szCs w:val="24"/>
      <w:lang w:eastAsia="en-US"/>
    </w:rPr>
  </w:style>
  <w:style w:type="paragraph" w:styleId="Footer">
    <w:name w:val="footer"/>
    <w:basedOn w:val="Normal"/>
    <w:link w:val="FooterChar"/>
    <w:uiPriority w:val="99"/>
    <w:unhideWhenUsed/>
    <w:rsid w:val="00184DE5"/>
    <w:pPr>
      <w:tabs>
        <w:tab w:val="center" w:pos="4320"/>
        <w:tab w:val="right" w:pos="8640"/>
      </w:tabs>
    </w:pPr>
  </w:style>
  <w:style w:type="character" w:customStyle="1" w:styleId="FooterChar">
    <w:name w:val="Footer Char"/>
    <w:basedOn w:val="DefaultParagraphFont"/>
    <w:link w:val="Footer"/>
    <w:uiPriority w:val="99"/>
    <w:rsid w:val="00184DE5"/>
    <w:rPr>
      <w:sz w:val="24"/>
      <w:szCs w:val="24"/>
      <w:lang w:eastAsia="en-US"/>
    </w:rPr>
  </w:style>
  <w:style w:type="character" w:styleId="PageNumber">
    <w:name w:val="page number"/>
    <w:basedOn w:val="DefaultParagraphFont"/>
    <w:uiPriority w:val="99"/>
    <w:semiHidden/>
    <w:unhideWhenUsed/>
    <w:rsid w:val="00184DE5"/>
  </w:style>
  <w:style w:type="character" w:styleId="Hyperlink">
    <w:name w:val="Hyperlink"/>
    <w:basedOn w:val="DefaultParagraphFont"/>
    <w:uiPriority w:val="99"/>
    <w:unhideWhenUsed/>
    <w:rsid w:val="002709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5"/>
    <w:pPr>
      <w:tabs>
        <w:tab w:val="center" w:pos="4320"/>
        <w:tab w:val="right" w:pos="8640"/>
      </w:tabs>
    </w:pPr>
  </w:style>
  <w:style w:type="character" w:customStyle="1" w:styleId="HeaderChar">
    <w:name w:val="Header Char"/>
    <w:basedOn w:val="DefaultParagraphFont"/>
    <w:link w:val="Header"/>
    <w:uiPriority w:val="99"/>
    <w:rsid w:val="00184DE5"/>
    <w:rPr>
      <w:sz w:val="24"/>
      <w:szCs w:val="24"/>
      <w:lang w:eastAsia="en-US"/>
    </w:rPr>
  </w:style>
  <w:style w:type="paragraph" w:styleId="Footer">
    <w:name w:val="footer"/>
    <w:basedOn w:val="Normal"/>
    <w:link w:val="FooterChar"/>
    <w:uiPriority w:val="99"/>
    <w:unhideWhenUsed/>
    <w:rsid w:val="00184DE5"/>
    <w:pPr>
      <w:tabs>
        <w:tab w:val="center" w:pos="4320"/>
        <w:tab w:val="right" w:pos="8640"/>
      </w:tabs>
    </w:pPr>
  </w:style>
  <w:style w:type="character" w:customStyle="1" w:styleId="FooterChar">
    <w:name w:val="Footer Char"/>
    <w:basedOn w:val="DefaultParagraphFont"/>
    <w:link w:val="Footer"/>
    <w:uiPriority w:val="99"/>
    <w:rsid w:val="00184DE5"/>
    <w:rPr>
      <w:sz w:val="24"/>
      <w:szCs w:val="24"/>
      <w:lang w:eastAsia="en-US"/>
    </w:rPr>
  </w:style>
  <w:style w:type="character" w:styleId="PageNumber">
    <w:name w:val="page number"/>
    <w:basedOn w:val="DefaultParagraphFont"/>
    <w:uiPriority w:val="99"/>
    <w:semiHidden/>
    <w:unhideWhenUsed/>
    <w:rsid w:val="00184DE5"/>
  </w:style>
  <w:style w:type="character" w:styleId="Hyperlink">
    <w:name w:val="Hyperlink"/>
    <w:basedOn w:val="DefaultParagraphFont"/>
    <w:uiPriority w:val="99"/>
    <w:unhideWhenUsed/>
    <w:rsid w:val="00270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csw.org.uk/pcfDisplay.asp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93C7-3DC1-6840-A648-EDB969A7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1130</Words>
  <Characters>6443</Characters>
  <Application>Microsoft Macintosh Word</Application>
  <DocSecurity>0</DocSecurity>
  <Lines>53</Lines>
  <Paragraphs>15</Paragraphs>
  <ScaleCrop>false</ScaleCrop>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Doel User</dc:creator>
  <cp:keywords/>
  <dc:description/>
  <cp:lastModifiedBy>Mark Doel User</cp:lastModifiedBy>
  <cp:revision>11</cp:revision>
  <dcterms:created xsi:type="dcterms:W3CDTF">2013-11-09T15:32:00Z</dcterms:created>
  <dcterms:modified xsi:type="dcterms:W3CDTF">2013-11-22T14:06:00Z</dcterms:modified>
</cp:coreProperties>
</file>